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CC51B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CC51BB">
        <w:rPr>
          <w:rFonts w:ascii="Times New Roman" w:hAnsi="Times New Roman"/>
          <w:sz w:val="24"/>
          <w:szCs w:val="24"/>
          <w:lang w:val="pl-PL"/>
        </w:rPr>
        <w:t>: Trgovački sud 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CC51BB">
        <w:rPr>
          <w:rFonts w:ascii="Times New Roman" w:hAnsi="Times New Roman"/>
          <w:sz w:val="24"/>
          <w:szCs w:val="24"/>
          <w:lang w:val="pl-PL"/>
        </w:rPr>
        <w:t>: 20 St-693/13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CC51BB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</w:t>
      </w:r>
      <w:r w:rsidR="00CC51BB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C51BB">
        <w:rPr>
          <w:rFonts w:ascii="Times New Roman" w:hAnsi="Times New Roman"/>
          <w:sz w:val="24"/>
          <w:szCs w:val="24"/>
          <w:lang w:val="pl-PL"/>
        </w:rPr>
        <w:t>ZAGREB PROJEKT d.o.o. u stečaju, OIB: 53692361540. Turinina 4, Zagreb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CC51BB">
        <w:rPr>
          <w:rFonts w:ascii="Times New Roman" w:hAnsi="Times New Roman"/>
          <w:sz w:val="24"/>
          <w:szCs w:val="24"/>
          <w:lang w:val="pl-PL"/>
        </w:rPr>
        <w:t>12.11.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A2188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C51BB">
        <w:rPr>
          <w:rFonts w:ascii="Times New Roman" w:hAnsi="Times New Roman"/>
          <w:sz w:val="24"/>
          <w:szCs w:val="24"/>
          <w:lang w:val="pl-PL"/>
        </w:rPr>
        <w:t>26.11. 2015.godine</w:t>
      </w:r>
    </w:p>
    <w:p w:rsidR="001D17A7" w:rsidRDefault="00CC51B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Temeljem zapisnika s posebnog ispitnog ročišta održanog 12. studenog 2015.godine obavijestila sam ZOU Jureško i Buntak (odvjetnik Anđelko Jureško) iz  Zagreba, Radnički dol 23 da ispravve i dopune prijavu tražbine stečajnog vjerovnika MITAR BAHTJUK, Posedarska 86, Sveta Klara, Zagreb, OIB:09644600356</w:t>
      </w:r>
      <w:r w:rsidR="001D17A7">
        <w:rPr>
          <w:rFonts w:ascii="Times New Roman" w:hAnsi="Times New Roman"/>
          <w:sz w:val="24"/>
          <w:szCs w:val="24"/>
          <w:lang w:val="pl-PL"/>
        </w:rPr>
        <w:t>.  Ista je dopunjena, odnosno specificirana su potraživanja i obračunata kamata:</w:t>
      </w:r>
    </w:p>
    <w:p w:rsidR="000E1F39" w:rsidRDefault="001D17A7" w:rsidP="001D17A7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priznati iznos od 53.320,00kn kamata je 20.769,96kn</w:t>
      </w:r>
    </w:p>
    <w:p w:rsidR="001D17A7" w:rsidRPr="001D17A7" w:rsidRDefault="001D17A7" w:rsidP="001D17A7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 osnova materijalne (imovinske) štete za izgubljenu zaradu za razdoblje od 01.06.2002.godine do otvaranja stečajnog postupka 03.03.2014.godine glavnica je 210.000,00kn + zakonska zatezna kamata 164.523,78kn = 374.523,78kn</w:t>
      </w:r>
    </w:p>
    <w:p w:rsidR="000E1F39" w:rsidRDefault="0044197A" w:rsidP="001D17A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prilogu je tablica stečajnog upravitelja</w:t>
      </w:r>
    </w:p>
    <w:p w:rsidR="0044197A" w:rsidRDefault="0044197A" w:rsidP="001D17A7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44197A" w:rsidP="0044197A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Molim gornji naslov da odredi posebno ispitno ročište.</w:t>
      </w:r>
    </w:p>
    <w:p w:rsidR="0044197A" w:rsidRPr="00B40BEB" w:rsidRDefault="0044197A" w:rsidP="0044197A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44197A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26.11.2015.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Bojana Sajko, dipl.ing.arh.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FA807E7"/>
    <w:multiLevelType w:val="hybridMultilevel"/>
    <w:tmpl w:val="13A61A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D17A7"/>
    <w:rsid w:val="0044197A"/>
    <w:rsid w:val="00816431"/>
    <w:rsid w:val="008512FB"/>
    <w:rsid w:val="008D59D0"/>
    <w:rsid w:val="00A21883"/>
    <w:rsid w:val="00AF3CCD"/>
    <w:rsid w:val="00C61F72"/>
    <w:rsid w:val="00CC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D17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D17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4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dcterms:created xsi:type="dcterms:W3CDTF">2016-06-16T11:32:00Z</dcterms:created>
  <dcterms:modified xsi:type="dcterms:W3CDTF">2016-06-16T11:32:00Z</dcterms:modified>
</cp:coreProperties>
</file>